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2108" w:rsidRDefault="007F2108" w:rsidP="007F2108">
      <w:pPr>
        <w:rPr>
          <w:rFonts w:ascii="Tahoma" w:hAnsi="Tahoma" w:cs="Tahoma"/>
          <w:sz w:val="18"/>
        </w:rPr>
      </w:pPr>
    </w:p>
    <w:p w:rsidR="007F2108" w:rsidRDefault="007F2108" w:rsidP="007F2108">
      <w:pPr>
        <w:pBdr>
          <w:top w:val="double" w:sz="4" w:space="1" w:color="auto"/>
          <w:left w:val="double" w:sz="4" w:space="4" w:color="auto"/>
          <w:bottom w:val="double" w:sz="4" w:space="1" w:color="auto"/>
          <w:right w:val="double" w:sz="4" w:space="4" w:color="auto"/>
        </w:pBdr>
        <w:rPr>
          <w:rFonts w:ascii="Tahoma" w:hAnsi="Tahoma" w:cs="Tahoma"/>
          <w:b/>
          <w:color w:val="000000"/>
        </w:rPr>
      </w:pPr>
    </w:p>
    <w:p w:rsidR="007F2108" w:rsidRPr="003E092A" w:rsidRDefault="007F2108" w:rsidP="007F2108">
      <w:pPr>
        <w:pBdr>
          <w:top w:val="double" w:sz="4" w:space="1" w:color="auto"/>
          <w:left w:val="double" w:sz="4" w:space="4" w:color="auto"/>
          <w:bottom w:val="double" w:sz="4" w:space="1" w:color="auto"/>
          <w:right w:val="double" w:sz="4" w:space="4" w:color="auto"/>
        </w:pBdr>
        <w:rPr>
          <w:rFonts w:ascii="Tahoma" w:hAnsi="Tahoma" w:cs="Tahoma"/>
          <w:b/>
          <w:color w:val="000000"/>
        </w:rPr>
      </w:pPr>
      <w:r w:rsidRPr="003E092A">
        <w:rPr>
          <w:rFonts w:ascii="Tahoma" w:hAnsi="Tahoma" w:cs="Tahoma"/>
          <w:b/>
          <w:color w:val="000000"/>
        </w:rPr>
        <w:t>YOUR NAME: ______________________________________________________</w:t>
      </w:r>
    </w:p>
    <w:p w:rsidR="007F2108" w:rsidRPr="003E092A" w:rsidRDefault="007F2108" w:rsidP="007F2108">
      <w:pPr>
        <w:pBdr>
          <w:top w:val="double" w:sz="4" w:space="1" w:color="auto"/>
          <w:left w:val="double" w:sz="4" w:space="4" w:color="auto"/>
          <w:bottom w:val="double" w:sz="4" w:space="1" w:color="auto"/>
          <w:right w:val="double" w:sz="4" w:space="4" w:color="auto"/>
        </w:pBdr>
        <w:rPr>
          <w:rFonts w:ascii="Tahoma" w:hAnsi="Tahoma" w:cs="Tahoma"/>
          <w:b/>
          <w:color w:val="000000"/>
        </w:rPr>
      </w:pPr>
    </w:p>
    <w:p w:rsidR="007F2108" w:rsidRPr="003E092A" w:rsidRDefault="007F2108" w:rsidP="007F2108">
      <w:pPr>
        <w:pBdr>
          <w:top w:val="double" w:sz="4" w:space="1" w:color="auto"/>
          <w:left w:val="double" w:sz="4" w:space="4" w:color="auto"/>
          <w:bottom w:val="double" w:sz="4" w:space="1" w:color="auto"/>
          <w:right w:val="double" w:sz="4" w:space="4" w:color="auto"/>
        </w:pBdr>
        <w:rPr>
          <w:rFonts w:ascii="Tahoma" w:hAnsi="Tahoma" w:cs="Tahoma"/>
          <w:color w:val="000000"/>
        </w:rPr>
      </w:pPr>
      <w:r w:rsidRPr="003E092A">
        <w:rPr>
          <w:rFonts w:ascii="Tahoma" w:hAnsi="Tahoma" w:cs="Tahoma"/>
          <w:b/>
          <w:color w:val="000000"/>
        </w:rPr>
        <w:t>DATE: ____________________________________________________________</w:t>
      </w:r>
    </w:p>
    <w:p w:rsidR="007F2108" w:rsidRPr="003E092A" w:rsidRDefault="007F2108" w:rsidP="007F2108">
      <w:pPr>
        <w:pBdr>
          <w:top w:val="double" w:sz="4" w:space="1" w:color="auto"/>
          <w:left w:val="double" w:sz="4" w:space="4" w:color="auto"/>
          <w:bottom w:val="double" w:sz="4" w:space="1" w:color="auto"/>
          <w:right w:val="double" w:sz="4" w:space="4" w:color="auto"/>
        </w:pBdr>
        <w:rPr>
          <w:rFonts w:ascii="Tahoma" w:hAnsi="Tahoma" w:cs="Tahoma"/>
          <w:color w:val="000000"/>
        </w:rPr>
      </w:pPr>
    </w:p>
    <w:p w:rsidR="007F2108" w:rsidRPr="003E092A" w:rsidRDefault="007F2108" w:rsidP="007F2108">
      <w:pPr>
        <w:rPr>
          <w:rFonts w:ascii="Calibri" w:eastAsia="Times New Roman" w:hAnsi="Calibri" w:cs="Arial"/>
          <w:sz w:val="24"/>
          <w:szCs w:val="24"/>
          <w:lang w:eastAsia="it-IT"/>
        </w:rPr>
      </w:pPr>
    </w:p>
    <w:p w:rsidR="007F2108" w:rsidRPr="007F2108" w:rsidRDefault="007F2108" w:rsidP="007F2108">
      <w:pPr>
        <w:rPr>
          <w:b/>
        </w:rPr>
      </w:pPr>
      <w:r w:rsidRPr="007F2108">
        <w:rPr>
          <w:b/>
        </w:rPr>
        <w:t>GENERIQUE</w:t>
      </w:r>
      <w:r>
        <w:rPr>
          <w:b/>
        </w:rPr>
        <w:t> :</w:t>
      </w:r>
    </w:p>
    <w:p w:rsidR="007F2108" w:rsidRPr="007F2108" w:rsidRDefault="007F2108" w:rsidP="007F2108">
      <w:r w:rsidRPr="007F2108">
        <w:t>Dédiées aux amateurs de larges espaces de détente, les suites de l’hôtel se distinguent par leur salon indépendant disposant d’une cheminée.</w:t>
      </w:r>
    </w:p>
    <w:p w:rsidR="007F2108" w:rsidRPr="007F2108" w:rsidRDefault="007F2108" w:rsidP="007F2108">
      <w:r w:rsidRPr="007F2108">
        <w:t>Depuis une petite terrasse à usage exclusif, vous donnerez sur les vignobles et pourrez jouir de la paix qui règne dans tout le domaine. Les chambres pourvues de lits à baldaquin ou en fer forgé et la décoration faite d’élégants meubles de style rustique rendent ces chambres infiniment accueillantes et chaleureuses. Troisième lit disponible sur demande. Seulement dans ces chambres : salon indépendant, certaines possédant une cheminée d’origine, salle de bain disposant d’une baignoire ou d’une douche avec fonction hydro-massage.</w:t>
      </w:r>
    </w:p>
    <w:p w:rsidR="007F2108" w:rsidRPr="007F2108" w:rsidRDefault="007F2108" w:rsidP="007F2108">
      <w:r w:rsidRPr="007F2108">
        <w:t xml:space="preserve">La taverne unique aux plafonds aux voûtes de pierre et la terrasse donnant sur les cépages de </w:t>
      </w:r>
      <w:proofErr w:type="spellStart"/>
      <w:r w:rsidRPr="007F2108">
        <w:t>sangiovese</w:t>
      </w:r>
      <w:proofErr w:type="spellEnd"/>
      <w:r w:rsidRPr="007F2108">
        <w:t xml:space="preserve"> de l’hôtel, constituent la toile de fond du restaurant ****, ouvert seulement le midi.</w:t>
      </w:r>
    </w:p>
    <w:p w:rsidR="007F2108" w:rsidRPr="007F2108" w:rsidRDefault="007F2108" w:rsidP="007F2108">
      <w:r w:rsidRPr="007F2108">
        <w:t xml:space="preserve">Vous pourrez y commander des plats « allégés » à base d’ingrédients frais et toujours de première qualité, s’inspirant de la même philosophie que celle du </w:t>
      </w:r>
      <w:proofErr w:type="spellStart"/>
      <w:r w:rsidRPr="007F2108">
        <w:t>Pievano</w:t>
      </w:r>
      <w:proofErr w:type="spellEnd"/>
      <w:r w:rsidRPr="007F2108">
        <w:t xml:space="preserve"> : une cuisine locale typique remise au goût du jour. Vous pourrez également accompagner chaque plat de l’un des 500 vins figurant sur la carte du </w:t>
      </w:r>
      <w:proofErr w:type="spellStart"/>
      <w:r w:rsidRPr="007F2108">
        <w:t>Pievano</w:t>
      </w:r>
      <w:proofErr w:type="spellEnd"/>
      <w:r w:rsidRPr="007F2108">
        <w:t>, où vous trouverez les crus de la maison, une infinité de Chianti et de nombreux vins italiens et internationaux.</w:t>
      </w:r>
    </w:p>
    <w:p w:rsidR="007F2108" w:rsidRPr="007F2108" w:rsidRDefault="007F2108">
      <w:pPr>
        <w:rPr>
          <w:b/>
        </w:rPr>
      </w:pPr>
      <w:r w:rsidRPr="007F2108">
        <w:rPr>
          <w:b/>
        </w:rPr>
        <w:t>FINANCE</w:t>
      </w:r>
      <w:r>
        <w:rPr>
          <w:b/>
        </w:rPr>
        <w:t> :</w:t>
      </w:r>
    </w:p>
    <w:p w:rsidR="006B5017" w:rsidRDefault="004E079B">
      <w:r w:rsidRPr="007F2108">
        <w:t>À données comparables, c'est-à-dire à structure et taux de change identiques, la croissance du chiffre</w:t>
      </w:r>
      <w:r>
        <w:t xml:space="preserve"> d'affaires ressort à + 3,8 %. L'effet net de changement de structure est de + 1,2 %. La croissance à taux de change constants ressort à + 5,0 %. Les effets monétaires ont eu un impact positif de + 9,7 %. En extrapolant les taux de change du 30 juin 2015, c’est-à-dire avec 1 € = 1,119 $ jusqu’au 31 décembre, l’impact des effets monétaires s’établirait à environ + 7,8 % sur le chiffre d’affaires de l’ensemble de l’année 2015.</w:t>
      </w:r>
    </w:p>
    <w:p w:rsidR="004E079B" w:rsidRDefault="004E079B">
      <w:r w:rsidRPr="004E079B">
        <w:t xml:space="preserve">L’impôt sur les résultats hors éléments non récurrents s’établit à 692 millions d’euros, soit un taux de 26,1 % légèrement supérieur à celui du premier semestre 2014. Le résultat net des activités poursuivies, hors éléments non récurrents, part du groupe ressort à 1 957 millions d’euros, en progression de + 10,4 % par </w:t>
      </w:r>
      <w:r w:rsidRPr="004E079B">
        <w:lastRenderedPageBreak/>
        <w:t>rapport au premier semestre 2014. Le Bénéfice Net Par Action, s’établit à 3,47 euros, en progression de + 18,9 %. Enfin, le résultat net part du groupe ressort à 1 883 millions d’euros, en croissance de + 8,5 %.</w:t>
      </w:r>
    </w:p>
    <w:p w:rsidR="007F2108" w:rsidRDefault="003E092A">
      <w:pPr>
        <w:rPr>
          <w:b/>
        </w:rPr>
      </w:pPr>
      <w:r>
        <w:rPr>
          <w:b/>
        </w:rPr>
        <w:t>JURIDIQUE</w:t>
      </w:r>
      <w:bookmarkStart w:id="0" w:name="_GoBack"/>
      <w:bookmarkEnd w:id="0"/>
      <w:r>
        <w:rPr>
          <w:b/>
        </w:rPr>
        <w:t xml:space="preserve"> </w:t>
      </w:r>
      <w:r w:rsidR="007F2108" w:rsidRPr="007F2108">
        <w:rPr>
          <w:b/>
        </w:rPr>
        <w:t> :</w:t>
      </w:r>
    </w:p>
    <w:p w:rsidR="007F2108" w:rsidRPr="007F2108" w:rsidRDefault="007F2108" w:rsidP="007F2108">
      <w:r w:rsidRPr="007F2108">
        <w:t>RECOURS</w:t>
      </w:r>
    </w:p>
    <w:p w:rsidR="007F2108" w:rsidRPr="007F2108" w:rsidRDefault="007F2108" w:rsidP="007F2108">
      <w:r w:rsidRPr="007F2108">
        <w:t>En fait et en droit</w:t>
      </w:r>
    </w:p>
    <w:p w:rsidR="007F2108" w:rsidRPr="007F2108" w:rsidRDefault="007F2108" w:rsidP="007F2108">
      <w:r w:rsidRPr="007F2108">
        <w:t>1)</w:t>
      </w:r>
      <w:r w:rsidRPr="007F2108">
        <w:tab/>
        <w:t xml:space="preserve">Par la décision faisant l’objet du présent recours, l’administration fiscale cantonale a rejeté la demande de remboursement de l’impôt anticipé et concernant le compte </w:t>
      </w:r>
      <w:proofErr w:type="spellStart"/>
      <w:r w:rsidRPr="007F2108">
        <w:t>Banca</w:t>
      </w:r>
      <w:proofErr w:type="spellEnd"/>
      <w:r w:rsidRPr="007F2108">
        <w:t xml:space="preserve"> </w:t>
      </w:r>
      <w:proofErr w:type="spellStart"/>
      <w:r w:rsidRPr="007F2108">
        <w:t>Popolare</w:t>
      </w:r>
      <w:proofErr w:type="spellEnd"/>
      <w:r w:rsidRPr="007F2108">
        <w:t xml:space="preserve"> ****  pour l’année fiscale 2012 en raison de la prétendue absence de déclaration des éléments de la fortune et du revenu donnant droit au remboursement de l’impôt anticipé.</w:t>
      </w:r>
    </w:p>
    <w:p w:rsidR="007F2108" w:rsidRPr="007F2108" w:rsidRDefault="007F2108" w:rsidP="007F2108">
      <w:r w:rsidRPr="007F2108">
        <w:t>2)</w:t>
      </w:r>
      <w:r w:rsidRPr="007F2108">
        <w:tab/>
        <w:t>Ceci ne correspond pas à la vérité : en effet, en adressant sa déclaration fiscale par lettre recommandée du 14.01.2014 (cf. copie ci-jointe), le contribuable a également joint une copie du formulaire du Canton du Tessin relatif à la copropriété</w:t>
      </w:r>
    </w:p>
    <w:p w:rsidR="007F2108" w:rsidRPr="007F2108" w:rsidRDefault="007F2108" w:rsidP="007F2108">
      <w:r w:rsidRPr="007F2108">
        <w:t>ainsi que l’attestation bancaire **** au 31.12.2012. Ces documents font clairement apparaître tant le capital que le revenu imposable du compte bancaire ainsi que l’impôt anticipé déduit y afférent. En outre, l’autorité fiscale a pris en</w:t>
      </w:r>
    </w:p>
    <w:p w:rsidR="007F2108" w:rsidRDefault="007F2108" w:rsidP="007F2108">
      <w:r w:rsidRPr="007F2108">
        <w:t>considération et taxé tant la fortune mobilière pour CHF **** que le revenu y afférent pour CHF ****.</w:t>
      </w:r>
    </w:p>
    <w:p w:rsidR="007F2108" w:rsidRPr="007F2108" w:rsidRDefault="007F2108" w:rsidP="007F2108">
      <w:pPr>
        <w:rPr>
          <w:b/>
        </w:rPr>
      </w:pPr>
      <w:r w:rsidRPr="007F2108">
        <w:rPr>
          <w:b/>
        </w:rPr>
        <w:t>MODE</w:t>
      </w:r>
      <w:r>
        <w:rPr>
          <w:b/>
        </w:rPr>
        <w:t> :</w:t>
      </w:r>
    </w:p>
    <w:p w:rsidR="007F2108" w:rsidRDefault="007F2108" w:rsidP="007F2108">
      <w:r w:rsidRPr="007F2108">
        <w:t>Pensés uniquement pour rendre le regard des femmes inoubliable, les Cat-</w:t>
      </w:r>
      <w:proofErr w:type="spellStart"/>
      <w:r w:rsidRPr="007F2108">
        <w:t>eye</w:t>
      </w:r>
      <w:proofErr w:type="spellEnd"/>
      <w:r w:rsidRPr="007F2108">
        <w:t xml:space="preserve"> sont sans aucun doute le modèle le plus porté de l’histoire, qui rendait intriguant et mystérieux le visage des stars les plus célèbres de la planète. Marilyn Monroe, Audrey Hepburn, Sophia Loren et Grace Kelly ne sont que quelques-unes des icônes de beauté qui ont choisi cette monture pour se protéger des rayons de soleil et des flashs des paparazzis. Les « lunettes en œil de chat », synonyme depuis toujours de charme et de glamour, sont un classique intemporel qui se prête bien aux interprétations contemporaines. Parmi les propositions les plus alternatives des nouvelles collections se distingue celle de la marque Funk : une monture over-size qui ajoute harmonie et légèreté au charme des yeux de chat grâce à l’utilisation d’un acétate transparent fait d’un mélange de coton et d’élément naturels comme des plumes et des feuilles. Plus affirmée et audacieuse, Eva, la dernière création de </w:t>
      </w:r>
      <w:proofErr w:type="spellStart"/>
      <w:r w:rsidRPr="007F2108">
        <w:t>Spektre</w:t>
      </w:r>
      <w:proofErr w:type="spellEnd"/>
      <w:r w:rsidRPr="007F2108">
        <w:t xml:space="preserve">, est une véritable arme de séduction : déclinées en un acétate noir classique, ses lignes résolument espiègles renferment un mix de sex-appeal et de légèreté.    </w:t>
      </w:r>
    </w:p>
    <w:p w:rsidR="007F2108" w:rsidRPr="007F2108" w:rsidRDefault="007F2108" w:rsidP="007F2108">
      <w:pPr>
        <w:rPr>
          <w:b/>
        </w:rPr>
      </w:pPr>
      <w:r w:rsidRPr="007F2108">
        <w:rPr>
          <w:b/>
        </w:rPr>
        <w:t>TECHNIQUE :</w:t>
      </w:r>
    </w:p>
    <w:p w:rsidR="007F2108" w:rsidRDefault="007F2108" w:rsidP="007F2108">
      <w:r>
        <w:t>L’EPR montre que le maintien des opérations dans le brouillard dense d’eau est primordial vis-à-vis de la sécurité.</w:t>
      </w:r>
    </w:p>
    <w:p w:rsidR="007F2108" w:rsidRDefault="007F2108" w:rsidP="007F2108">
      <w:r>
        <w:t>Les alimentations en eau doivent faire l’objet d’un pilotage automatique approprié en opération (présence d’eau, débit, arrêt automatique par manque d’eau,..) et d’une surveillance adaptée par les équipes de maintenance.</w:t>
      </w:r>
    </w:p>
    <w:p w:rsidR="007F2108" w:rsidRDefault="007F2108" w:rsidP="007F2108">
      <w:r>
        <w:lastRenderedPageBreak/>
        <w:t>Le réglage des débits d’eau étant réalisé par la maintenance et non les opérateurs il doit être consigné après concertation avec les opérateurs et le responsable sécurité les débits minimum d’eau à respecter.</w:t>
      </w:r>
    </w:p>
    <w:p w:rsidR="007F2108" w:rsidRDefault="007F2108" w:rsidP="007F2108">
      <w:r>
        <w:t>Il est à noter que la fiabilité sera très dépendante des débitmètres mais aussi de l’ensemble des boucles de sécurité attachées à ces débitmètres.</w:t>
      </w:r>
    </w:p>
    <w:p w:rsidR="007F2108" w:rsidRDefault="007F2108" w:rsidP="007F2108">
      <w:r>
        <w:t>Lorsque les études d’exécution seront bien avancées, il conviendra de faire une vérification de la fiabilité de l’alimentation en eau et des arrêts en cas de manque.</w:t>
      </w:r>
    </w:p>
    <w:p w:rsidR="007F2108" w:rsidRDefault="007F2108" w:rsidP="007F2108">
      <w:r>
        <w:t>L’EPR montre aussi que les labyrinthes doivent être particulièrement « surveillés » (en conception et exploitation) car les « recoins » où de la matière pyrotechnique peut s’introduire sont des causes d’accidents que l’accidentologie révèle (sur toutes les machines et non exclusivement sur les broyeurs). Le choix d’une graisse non dissoute par de l’eau chargée est impératif ainsi que la surveillance de non apparition de conditions d’amorçage (frottement, montée en température au niveau des labyrinthes).</w:t>
      </w:r>
    </w:p>
    <w:p w:rsidR="007F2108" w:rsidRPr="007F2108" w:rsidRDefault="007F2108" w:rsidP="007F2108"/>
    <w:p w:rsidR="007F2108" w:rsidRDefault="007F2108"/>
    <w:sectPr w:rsidR="007F2108">
      <w:headerReference w:type="default" r:id="rId7"/>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2108" w:rsidRDefault="007F2108" w:rsidP="007F2108">
      <w:pPr>
        <w:spacing w:after="0" w:line="240" w:lineRule="auto"/>
      </w:pPr>
      <w:r>
        <w:separator/>
      </w:r>
    </w:p>
  </w:endnote>
  <w:endnote w:type="continuationSeparator" w:id="0">
    <w:p w:rsidR="007F2108" w:rsidRDefault="007F2108" w:rsidP="007F21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108" w:rsidRPr="000F4D9C" w:rsidRDefault="007F2108" w:rsidP="007F2108">
    <w:pPr>
      <w:pStyle w:val="Pidipagina"/>
      <w:jc w:val="center"/>
      <w:rPr>
        <w:rFonts w:ascii="Century Gothic" w:hAnsi="Century Gothic"/>
        <w:sz w:val="18"/>
        <w:lang w:val="it-IT"/>
      </w:rPr>
    </w:pPr>
    <w:r w:rsidRPr="000F4D9C">
      <w:rPr>
        <w:rFonts w:ascii="Century Gothic" w:hAnsi="Century Gothic"/>
        <w:b/>
        <w:bCs/>
        <w:sz w:val="18"/>
        <w:lang w:val="it-IT"/>
      </w:rPr>
      <w:t>KOSMOS TRADUZIONI</w:t>
    </w:r>
    <w:r w:rsidRPr="000F4D9C">
      <w:rPr>
        <w:rFonts w:ascii="Century Gothic" w:hAnsi="Century Gothic"/>
        <w:sz w:val="18"/>
        <w:lang w:val="it-IT"/>
      </w:rPr>
      <w:t xml:space="preserve"> </w:t>
    </w:r>
  </w:p>
  <w:p w:rsidR="007F2108" w:rsidRPr="000F4D9C" w:rsidRDefault="007F2108" w:rsidP="007F2108">
    <w:pPr>
      <w:pStyle w:val="Pidipagina"/>
      <w:jc w:val="center"/>
      <w:rPr>
        <w:rFonts w:ascii="Century Gothic" w:hAnsi="Century Gothic"/>
        <w:sz w:val="18"/>
        <w:lang w:val="it-IT"/>
      </w:rPr>
    </w:pPr>
    <w:r w:rsidRPr="000F4D9C">
      <w:rPr>
        <w:rFonts w:ascii="Century Gothic" w:hAnsi="Century Gothic"/>
        <w:sz w:val="18"/>
        <w:lang w:val="it-IT"/>
      </w:rPr>
      <w:t>Via G. da Castello, 29 - 42121 Reggio Emilia - ITALIA</w:t>
    </w:r>
  </w:p>
  <w:p w:rsidR="007F2108" w:rsidRDefault="007F2108" w:rsidP="007F2108">
    <w:pPr>
      <w:pStyle w:val="Pidipagina"/>
      <w:jc w:val="center"/>
      <w:rPr>
        <w:rFonts w:ascii="Century Gothic" w:hAnsi="Century Gothic"/>
        <w:sz w:val="18"/>
        <w:lang w:val="en-GB"/>
      </w:rPr>
    </w:pPr>
    <w:r>
      <w:rPr>
        <w:rFonts w:ascii="Century Gothic" w:hAnsi="Century Gothic"/>
        <w:sz w:val="18"/>
        <w:lang w:val="en-GB"/>
      </w:rPr>
      <w:t>Tel. +39 0522 433027 – +39 0522 0330899  Fax +39 0522 433028 - +39 0522 015040</w:t>
    </w:r>
  </w:p>
  <w:p w:rsidR="007F2108" w:rsidRPr="007F2108" w:rsidRDefault="003E092A" w:rsidP="007F2108">
    <w:pPr>
      <w:pStyle w:val="Pidipagina"/>
      <w:jc w:val="center"/>
      <w:rPr>
        <w:rFonts w:ascii="Century Gothic" w:hAnsi="Century Gothic"/>
        <w:lang w:val="en-GB"/>
      </w:rPr>
    </w:pPr>
    <w:hyperlink r:id="rId1" w:history="1">
      <w:r w:rsidR="007F2108">
        <w:rPr>
          <w:rStyle w:val="Collegamentoipertestuale"/>
          <w:rFonts w:ascii="Century Gothic" w:hAnsi="Century Gothic"/>
          <w:sz w:val="18"/>
          <w:lang w:val="en-GB"/>
        </w:rPr>
        <w:t>www.studiokosmos.it</w:t>
      </w:r>
    </w:hyperlink>
    <w:r w:rsidR="007F2108">
      <w:rPr>
        <w:rFonts w:ascii="Century Gothic" w:hAnsi="Century Gothic"/>
        <w:sz w:val="18"/>
        <w:lang w:val="en-GB"/>
      </w:rPr>
      <w:t xml:space="preserve">  e</w:t>
    </w:r>
    <w:r w:rsidR="007F2108">
      <w:rPr>
        <w:rFonts w:ascii="Century Gothic" w:hAnsi="Century Gothic"/>
        <w:sz w:val="18"/>
      </w:rPr>
      <w:t xml:space="preserve">mail : </w:t>
    </w:r>
    <w:hyperlink r:id="rId2" w:history="1">
      <w:r w:rsidR="007F2108">
        <w:rPr>
          <w:rStyle w:val="Collegamentoipertestuale"/>
          <w:rFonts w:ascii="Century Gothic" w:hAnsi="Century Gothic"/>
          <w:sz w:val="18"/>
        </w:rPr>
        <w:t>info@studiokosmos.com</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2108" w:rsidRDefault="007F2108" w:rsidP="007F2108">
      <w:pPr>
        <w:spacing w:after="0" w:line="240" w:lineRule="auto"/>
      </w:pPr>
      <w:r>
        <w:separator/>
      </w:r>
    </w:p>
  </w:footnote>
  <w:footnote w:type="continuationSeparator" w:id="0">
    <w:p w:rsidR="007F2108" w:rsidRDefault="007F2108" w:rsidP="007F210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108" w:rsidRDefault="007F2108" w:rsidP="007F2108">
    <w:pPr>
      <w:pStyle w:val="Intestazione"/>
      <w:jc w:val="center"/>
    </w:pPr>
    <w:r>
      <w:rPr>
        <w:noProof/>
        <w:lang w:val="it-IT" w:eastAsia="it-IT"/>
      </w:rPr>
      <w:drawing>
        <wp:inline distT="0" distB="0" distL="0" distR="0" wp14:anchorId="5B58E248" wp14:editId="7BEDD7EB">
          <wp:extent cx="2257425" cy="790575"/>
          <wp:effectExtent l="0" t="0" r="9525" b="9525"/>
          <wp:docPr id="1" name="Immagine 1" descr="\\Serkosm\pub_kosm\Francesca\logo\Logo IS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rkosm\pub_kosm\Francesca\logo\Logo IS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57425" cy="79057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76FC"/>
    <w:rsid w:val="003E092A"/>
    <w:rsid w:val="004E079B"/>
    <w:rsid w:val="006B5017"/>
    <w:rsid w:val="007F2108"/>
    <w:rsid w:val="009276F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lang w:val="fr-FR"/>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7F210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F2108"/>
    <w:rPr>
      <w:lang w:val="fr-FR"/>
    </w:rPr>
  </w:style>
  <w:style w:type="paragraph" w:styleId="Pidipagina">
    <w:name w:val="footer"/>
    <w:basedOn w:val="Normale"/>
    <w:link w:val="PidipaginaCarattere"/>
    <w:unhideWhenUsed/>
    <w:rsid w:val="007F2108"/>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7F2108"/>
    <w:rPr>
      <w:lang w:val="fr-FR"/>
    </w:rPr>
  </w:style>
  <w:style w:type="paragraph" w:styleId="Testofumetto">
    <w:name w:val="Balloon Text"/>
    <w:basedOn w:val="Normale"/>
    <w:link w:val="TestofumettoCarattere"/>
    <w:uiPriority w:val="99"/>
    <w:semiHidden/>
    <w:unhideWhenUsed/>
    <w:rsid w:val="007F210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F2108"/>
    <w:rPr>
      <w:rFonts w:ascii="Tahoma" w:hAnsi="Tahoma" w:cs="Tahoma"/>
      <w:sz w:val="16"/>
      <w:szCs w:val="16"/>
      <w:lang w:val="fr-FR"/>
    </w:rPr>
  </w:style>
  <w:style w:type="character" w:styleId="Collegamentoipertestuale">
    <w:name w:val="Hyperlink"/>
    <w:basedOn w:val="Carpredefinitoparagrafo"/>
    <w:semiHidden/>
    <w:rsid w:val="007F210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lang w:val="fr-FR"/>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7F210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F2108"/>
    <w:rPr>
      <w:lang w:val="fr-FR"/>
    </w:rPr>
  </w:style>
  <w:style w:type="paragraph" w:styleId="Pidipagina">
    <w:name w:val="footer"/>
    <w:basedOn w:val="Normale"/>
    <w:link w:val="PidipaginaCarattere"/>
    <w:unhideWhenUsed/>
    <w:rsid w:val="007F2108"/>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7F2108"/>
    <w:rPr>
      <w:lang w:val="fr-FR"/>
    </w:rPr>
  </w:style>
  <w:style w:type="paragraph" w:styleId="Testofumetto">
    <w:name w:val="Balloon Text"/>
    <w:basedOn w:val="Normale"/>
    <w:link w:val="TestofumettoCarattere"/>
    <w:uiPriority w:val="99"/>
    <w:semiHidden/>
    <w:unhideWhenUsed/>
    <w:rsid w:val="007F210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F2108"/>
    <w:rPr>
      <w:rFonts w:ascii="Tahoma" w:hAnsi="Tahoma" w:cs="Tahoma"/>
      <w:sz w:val="16"/>
      <w:szCs w:val="16"/>
      <w:lang w:val="fr-FR"/>
    </w:rPr>
  </w:style>
  <w:style w:type="character" w:styleId="Collegamentoipertestuale">
    <w:name w:val="Hyperlink"/>
    <w:basedOn w:val="Carpredefinitoparagrafo"/>
    <w:semiHidden/>
    <w:rsid w:val="007F210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mailto:info@studiokosmos.com" TargetMode="External"/><Relationship Id="rId1" Type="http://schemas.openxmlformats.org/officeDocument/2006/relationships/hyperlink" Target="http://www.studiokosmos.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902</Words>
  <Characters>5144</Characters>
  <Application>Microsoft Office Word</Application>
  <DocSecurity>0</DocSecurity>
  <Lines>42</Lines>
  <Paragraphs>12</Paragraphs>
  <ScaleCrop>false</ScaleCrop>
  <Company/>
  <LinksUpToDate>false</LinksUpToDate>
  <CharactersWithSpaces>6034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4</cp:revision>
  <dcterms:created xsi:type="dcterms:W3CDTF">2015-08-26T08:25:00Z</dcterms:created>
  <dcterms:modified xsi:type="dcterms:W3CDTF">2015-11-13T10:54:00Z</dcterms:modified>
</cp:coreProperties>
</file>